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560212" w14:textId="77777777" w:rsidR="00D0219E" w:rsidRDefault="00D224FF">
      <w:pPr>
        <w:pStyle w:val="AnastasisDOI"/>
      </w:pPr>
      <w:bookmarkStart w:id="0" w:name="_GoBack"/>
      <w:bookmarkEnd w:id="0"/>
      <w:r>
        <w:t>DOI: 10.35218/armca.20XX.X.XX</w:t>
      </w:r>
    </w:p>
    <w:p w14:paraId="0D9A4CC0" w14:textId="77777777" w:rsidR="00D0219E" w:rsidRDefault="00D224FF">
      <w:pPr>
        <w:pStyle w:val="AnastasisTitle"/>
      </w:pPr>
      <w:r>
        <w:t>Title of the Article:</w:t>
      </w:r>
    </w:p>
    <w:p w14:paraId="1D00C947" w14:textId="77777777" w:rsidR="00240D7D" w:rsidRDefault="00D224FF" w:rsidP="00240D7D">
      <w:pPr>
        <w:pStyle w:val="AnastasisTitle"/>
      </w:pPr>
      <w:r>
        <w:t>Subtitle of the Article, If Any</w:t>
      </w:r>
    </w:p>
    <w:p w14:paraId="4C758A34" w14:textId="77777777" w:rsidR="00240D7D" w:rsidRPr="00240D7D" w:rsidRDefault="00240D7D" w:rsidP="00240D7D">
      <w:pPr>
        <w:pStyle w:val="AnastasisAuthor"/>
      </w:pPr>
    </w:p>
    <w:p w14:paraId="6EAB94BD" w14:textId="42365D3E" w:rsidR="00D0219E" w:rsidRPr="00240D7D" w:rsidRDefault="00D224FF" w:rsidP="00240D7D">
      <w:pPr>
        <w:pStyle w:val="AnastasisTitle"/>
        <w:rPr>
          <w:sz w:val="24"/>
          <w:szCs w:val="24"/>
        </w:rPr>
      </w:pPr>
      <w:r w:rsidRPr="00240D7D">
        <w:rPr>
          <w:sz w:val="24"/>
          <w:szCs w:val="24"/>
        </w:rPr>
        <w:t>First Author</w:t>
      </w:r>
      <w:r w:rsidRPr="00240D7D">
        <w:rPr>
          <w:rStyle w:val="FootnoteReference"/>
          <w:sz w:val="24"/>
          <w:szCs w:val="24"/>
        </w:rPr>
        <w:footnoteReference w:customMarkFollows="1" w:id="1"/>
        <w:t>*</w:t>
      </w:r>
    </w:p>
    <w:p w14:paraId="5EB6993D" w14:textId="1E21AAE7" w:rsidR="00084EE0" w:rsidRPr="00084EE0" w:rsidRDefault="00D224FF" w:rsidP="00084EE0">
      <w:pPr>
        <w:pStyle w:val="AnastasisAuthor"/>
      </w:pPr>
      <w:r w:rsidRPr="00240D7D">
        <w:t>Second Author</w:t>
      </w:r>
      <w:r w:rsidRPr="00240D7D">
        <w:rPr>
          <w:rStyle w:val="FootnoteReference"/>
        </w:rPr>
        <w:footnoteReference w:customMarkFollows="1" w:id="2"/>
        <w:t>**</w:t>
      </w:r>
    </w:p>
    <w:p w14:paraId="083A8F26" w14:textId="6EEB06B6" w:rsidR="00D0219E" w:rsidRDefault="00D224FF">
      <w:pPr>
        <w:pStyle w:val="AnastasisAbstract"/>
      </w:pPr>
      <w:r>
        <w:rPr>
          <w:b/>
          <w:bCs/>
        </w:rPr>
        <w:t>Abstract:</w:t>
      </w:r>
      <w:r>
        <w:t xml:space="preserve"> </w:t>
      </w:r>
      <w:r w:rsidRPr="00234C50">
        <w:rPr>
          <w:i/>
          <w:iCs/>
        </w:rPr>
        <w:t xml:space="preserve">text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Pr="00234C50">
        <w:rPr>
          <w:i/>
          <w:iCs/>
        </w:rPr>
        <w:t xml:space="preserve"> </w:t>
      </w:r>
      <w:proofErr w:type="spellStart"/>
      <w:r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 w:rsidRPr="00234C50">
        <w:rPr>
          <w:i/>
          <w:iCs/>
        </w:rPr>
        <w:t xml:space="preserve"> </w:t>
      </w:r>
      <w:proofErr w:type="spellStart"/>
      <w:r w:rsidR="00234C50" w:rsidRPr="00234C50">
        <w:rPr>
          <w:i/>
          <w:iCs/>
        </w:rPr>
        <w:t>text</w:t>
      </w:r>
      <w:proofErr w:type="spellEnd"/>
      <w:r w:rsidR="00234C50">
        <w:t>.</w:t>
      </w:r>
    </w:p>
    <w:p w14:paraId="49924BC4" w14:textId="739A90A6" w:rsidR="00D0219E" w:rsidRDefault="00D224FF">
      <w:pPr>
        <w:pStyle w:val="AnastasisKeywords"/>
      </w:pPr>
      <w:r>
        <w:rPr>
          <w:b/>
          <w:bCs/>
        </w:rPr>
        <w:t>Keywords:</w:t>
      </w:r>
      <w:r>
        <w:t xml:space="preserve"> </w:t>
      </w:r>
      <w:r w:rsidRPr="00234C50">
        <w:rPr>
          <w:i/>
          <w:iCs/>
        </w:rPr>
        <w:t>keyword</w:t>
      </w:r>
      <w:r>
        <w:t xml:space="preserve">; </w:t>
      </w:r>
      <w:r w:rsidRPr="00234C50">
        <w:rPr>
          <w:i/>
          <w:iCs/>
        </w:rPr>
        <w:t>keyword</w:t>
      </w:r>
      <w:r>
        <w:t>;</w:t>
      </w:r>
      <w:r>
        <w:t xml:space="preserve"> </w:t>
      </w:r>
      <w:r w:rsidRPr="00234C50">
        <w:rPr>
          <w:i/>
          <w:iCs/>
        </w:rPr>
        <w:t>keyword</w:t>
      </w:r>
      <w:r>
        <w:t xml:space="preserve">; </w:t>
      </w:r>
      <w:r w:rsidRPr="00234C50">
        <w:rPr>
          <w:i/>
          <w:iCs/>
        </w:rPr>
        <w:t>keyword</w:t>
      </w:r>
      <w:r>
        <w:t xml:space="preserve">; </w:t>
      </w:r>
      <w:r w:rsidRPr="00234C50">
        <w:rPr>
          <w:i/>
          <w:iCs/>
        </w:rPr>
        <w:t>keyword</w:t>
      </w:r>
      <w:r>
        <w:t xml:space="preserve">; </w:t>
      </w:r>
      <w:r w:rsidRPr="00234C50">
        <w:rPr>
          <w:i/>
          <w:iCs/>
        </w:rPr>
        <w:t>keyword</w:t>
      </w:r>
      <w:r>
        <w:t xml:space="preserve">; </w:t>
      </w:r>
      <w:r w:rsidRPr="00234C50">
        <w:rPr>
          <w:i/>
          <w:iCs/>
        </w:rPr>
        <w:t>keyword</w:t>
      </w:r>
      <w:r>
        <w:t xml:space="preserve">; </w:t>
      </w:r>
      <w:r w:rsidRPr="00234C50">
        <w:rPr>
          <w:i/>
          <w:iCs/>
        </w:rPr>
        <w:t>keyword</w:t>
      </w:r>
      <w:r w:rsidR="00234C50">
        <w:t>.</w:t>
      </w:r>
    </w:p>
    <w:p w14:paraId="0C71896E" w14:textId="77777777" w:rsidR="00D0219E" w:rsidRDefault="00D224FF">
      <w:pPr>
        <w:pStyle w:val="AnastasisHeading"/>
      </w:pPr>
      <w:r>
        <w:t>Section title</w:t>
      </w:r>
    </w:p>
    <w:p w14:paraId="7AB1F1A9" w14:textId="77777777" w:rsidR="00D0219E" w:rsidRDefault="00D224FF">
      <w:pPr>
        <w:pStyle w:val="AnastasisBody"/>
      </w:pPr>
      <w:r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rPr>
          <w:rStyle w:val="FootnoteReference"/>
        </w:rPr>
        <w:footnoteReference w:id="3"/>
      </w:r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</w:t>
      </w:r>
      <w:r>
        <w:t>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rPr>
          <w:rStyle w:val="FootnoteReference"/>
        </w:rPr>
        <w:footnoteReference w:id="4"/>
      </w:r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rPr>
          <w:rStyle w:val="FootnoteReference"/>
        </w:rPr>
        <w:footnoteReference w:id="5"/>
      </w:r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1790E326" w14:textId="77777777" w:rsidR="00D0219E" w:rsidRDefault="00D224FF">
      <w:pPr>
        <w:pStyle w:val="AnastasisBody"/>
      </w:pPr>
      <w:r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“quotation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>”</w:t>
      </w:r>
      <w:r>
        <w:rPr>
          <w:rStyle w:val="FootnoteReference"/>
        </w:rPr>
        <w:footnoteReference w:id="6"/>
      </w:r>
      <w:r>
        <w:t xml:space="preserve"> 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lastRenderedPageBreak/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rPr>
          <w:rStyle w:val="FootnoteReference"/>
        </w:rPr>
        <w:footnoteReference w:id="7"/>
      </w:r>
      <w:r>
        <w:t xml:space="preserve"> </w:t>
      </w:r>
      <w:proofErr w:type="spellStart"/>
      <w:r>
        <w:t>t</w:t>
      </w:r>
      <w:r>
        <w:t>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2C66DAEF" w14:textId="77777777" w:rsidR="00D0219E" w:rsidRDefault="00D224FF">
      <w:pPr>
        <w:pStyle w:val="AnastasisBody"/>
      </w:pPr>
      <w:proofErr w:type="gramStart"/>
      <w:r>
        <w:t>text</w:t>
      </w:r>
      <w:proofErr w:type="gram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>:</w:t>
      </w:r>
    </w:p>
    <w:p w14:paraId="00E9CA29" w14:textId="77777777" w:rsidR="00D0219E" w:rsidRDefault="00D224FF">
      <w:pPr>
        <w:pStyle w:val="AnastasisBlockQuote"/>
      </w:pPr>
      <w:r>
        <w:t xml:space="preserve">quotation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</w:t>
      </w:r>
      <w:r>
        <w:t>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</w:t>
      </w:r>
      <w:r>
        <w:t>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 xml:space="preserve"> </w:t>
      </w:r>
      <w:proofErr w:type="spellStart"/>
      <w:r>
        <w:t>quotation</w:t>
      </w:r>
      <w:proofErr w:type="spellEnd"/>
      <w:r>
        <w:t>.</w:t>
      </w:r>
      <w:r>
        <w:rPr>
          <w:rStyle w:val="FootnoteReference"/>
        </w:rPr>
        <w:footnoteReference w:id="8"/>
      </w:r>
    </w:p>
    <w:p w14:paraId="23FD3760" w14:textId="77777777" w:rsidR="00D0219E" w:rsidRDefault="00D224FF">
      <w:pPr>
        <w:pStyle w:val="AnastasisBody"/>
      </w:pPr>
      <w:r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rPr>
          <w:rStyle w:val="FootnoteReference"/>
        </w:rPr>
        <w:footnoteReference w:id="9"/>
      </w:r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rPr>
          <w:rStyle w:val="FootnoteReference"/>
        </w:rPr>
        <w:footnoteReference w:id="10"/>
      </w:r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rPr>
          <w:rStyle w:val="FootnoteReference"/>
        </w:rPr>
        <w:footnoteReference w:id="11"/>
      </w:r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rPr>
          <w:rStyle w:val="FootnoteReference"/>
        </w:rPr>
        <w:footnoteReference w:id="12"/>
      </w:r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4442255C" w14:textId="77777777" w:rsidR="00D0219E" w:rsidRDefault="00D224FF">
      <w:pPr>
        <w:pStyle w:val="AnastasisSubheading"/>
      </w:pPr>
      <w:r>
        <w:t>Subsection title</w:t>
      </w:r>
    </w:p>
    <w:p w14:paraId="38A00457" w14:textId="4D52B7F8" w:rsidR="00D0219E" w:rsidRDefault="00D224FF" w:rsidP="00C0219E">
      <w:pPr>
        <w:pStyle w:val="AnastasisInstruction"/>
        <w:jc w:val="both"/>
      </w:pPr>
      <w:r>
        <w:t>▸ ILLUSTRATED ARTICLES</w:t>
      </w:r>
      <w:r w:rsidR="00C0219E">
        <w:t xml:space="preserve">: </w:t>
      </w:r>
      <w:r>
        <w:t>each image is placed in the body of the text,</w:t>
      </w:r>
      <w:r>
        <w:t xml:space="preserve"> immediately after the paragraph that discusses it, with its caption underneath. Repeat the pair image + caption as many times as needed, numbering the figures in the order in which they appear. If the article has no illustrations, delete the two boxes and</w:t>
      </w:r>
      <w:r>
        <w:t xml:space="preserve"> their captions, the (Fig. 1) and (Fig. 2) references in the paragraphs above them, and the List and sources of illustrations at the end; nothing else changes.</w:t>
      </w:r>
    </w:p>
    <w:p w14:paraId="6DD34B87" w14:textId="77777777" w:rsidR="00D0219E" w:rsidRDefault="00D224FF">
      <w:pPr>
        <w:pStyle w:val="AnastasisBody"/>
      </w:pPr>
      <w:r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</w:t>
      </w:r>
      <w:r>
        <w:t>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rPr>
          <w:rStyle w:val="FootnoteReference"/>
        </w:rPr>
        <w:footnoteReference w:id="13"/>
      </w:r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(Fig. 1) 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rPr>
          <w:rStyle w:val="FootnoteReference"/>
        </w:rPr>
        <w:footnoteReference w:id="14"/>
      </w:r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</w:t>
      </w:r>
      <w:r>
        <w:t>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5E0576A6" w14:textId="09CD4A9F" w:rsidR="00D0219E" w:rsidRDefault="00D224FF">
      <w:pPr>
        <w:keepNext/>
        <w:pBdr>
          <w:top w:val="single" w:sz="4" w:space="14" w:color="BFBFBF"/>
          <w:left w:val="single" w:sz="4" w:space="14" w:color="BFBFBF"/>
          <w:bottom w:val="single" w:sz="4" w:space="14" w:color="BFBFBF"/>
          <w:right w:val="single" w:sz="4" w:space="14" w:color="BFBFBF"/>
        </w:pBdr>
        <w:spacing w:before="240" w:after="60" w:line="480" w:lineRule="auto"/>
        <w:jc w:val="center"/>
      </w:pPr>
      <w:r>
        <w:rPr>
          <w:i/>
          <w:iCs/>
          <w:color w:val="7F7F7F"/>
          <w:sz w:val="20"/>
          <w:szCs w:val="20"/>
        </w:rPr>
        <w:lastRenderedPageBreak/>
        <w:t>[Fig. 1</w:t>
      </w:r>
      <w:r w:rsidR="004B5B51">
        <w:rPr>
          <w:i/>
          <w:iCs/>
          <w:color w:val="7F7F7F"/>
          <w:sz w:val="20"/>
          <w:szCs w:val="20"/>
        </w:rPr>
        <w:t>.</w:t>
      </w:r>
      <w:r w:rsidR="00C0219E">
        <w:rPr>
          <w:i/>
          <w:iCs/>
          <w:color w:val="7F7F7F"/>
          <w:sz w:val="20"/>
          <w:szCs w:val="20"/>
        </w:rPr>
        <w:t xml:space="preserve"> </w:t>
      </w:r>
      <w:r>
        <w:rPr>
          <w:i/>
          <w:iCs/>
          <w:color w:val="7F7F7F"/>
          <w:sz w:val="20"/>
          <w:szCs w:val="20"/>
        </w:rPr>
        <w:t xml:space="preserve">insert the image here, </w:t>
      </w:r>
      <w:proofErr w:type="spellStart"/>
      <w:r>
        <w:rPr>
          <w:i/>
          <w:iCs/>
          <w:color w:val="7F7F7F"/>
          <w:sz w:val="20"/>
          <w:szCs w:val="20"/>
        </w:rPr>
        <w:t>centred</w:t>
      </w:r>
      <w:proofErr w:type="spellEnd"/>
      <w:r>
        <w:rPr>
          <w:i/>
          <w:iCs/>
          <w:color w:val="7F7F7F"/>
          <w:sz w:val="20"/>
          <w:szCs w:val="20"/>
        </w:rPr>
        <w:t>, at the width of the text block]</w:t>
      </w:r>
    </w:p>
    <w:p w14:paraId="12A59AD8" w14:textId="77777777" w:rsidR="00D0219E" w:rsidRDefault="00D224FF">
      <w:pPr>
        <w:pStyle w:val="AnastasisFigureCaption"/>
      </w:pPr>
      <w:r>
        <w:rPr>
          <w:b/>
          <w:bCs/>
        </w:rPr>
        <w:t>Fig. 1.</w:t>
      </w:r>
      <w:r>
        <w:t xml:space="preserve"> Author, </w:t>
      </w:r>
      <w:r>
        <w:rPr>
          <w:i/>
          <w:iCs/>
        </w:rPr>
        <w:t>Title of the Work</w:t>
      </w:r>
      <w:r>
        <w:t>, technique, date, Institution, City. Photo: name of the photographer / reproduced by permission of the Museum.</w:t>
      </w:r>
    </w:p>
    <w:p w14:paraId="76321074" w14:textId="77777777" w:rsidR="00D0219E" w:rsidRDefault="00D224FF">
      <w:pPr>
        <w:pStyle w:val="AnastasisBody"/>
      </w:pPr>
      <w:r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rPr>
          <w:rStyle w:val="FootnoteReference"/>
        </w:rPr>
        <w:footnoteReference w:id="15"/>
      </w:r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(Fig. 2) 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</w:t>
      </w:r>
      <w:r>
        <w:t>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rPr>
          <w:rStyle w:val="FootnoteReference"/>
        </w:rPr>
        <w:footnoteReference w:id="16"/>
      </w:r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79AE36FC" w14:textId="171B99E7" w:rsidR="00D0219E" w:rsidRDefault="00D224FF">
      <w:pPr>
        <w:keepNext/>
        <w:pBdr>
          <w:top w:val="single" w:sz="4" w:space="14" w:color="BFBFBF"/>
          <w:left w:val="single" w:sz="4" w:space="14" w:color="BFBFBF"/>
          <w:bottom w:val="single" w:sz="4" w:space="14" w:color="BFBFBF"/>
          <w:right w:val="single" w:sz="4" w:space="14" w:color="BFBFBF"/>
        </w:pBdr>
        <w:spacing w:before="240" w:after="60" w:line="480" w:lineRule="auto"/>
        <w:jc w:val="center"/>
      </w:pPr>
      <w:r>
        <w:rPr>
          <w:i/>
          <w:iCs/>
          <w:color w:val="7F7F7F"/>
          <w:sz w:val="20"/>
          <w:szCs w:val="20"/>
        </w:rPr>
        <w:t>[Fig. 2</w:t>
      </w:r>
      <w:r w:rsidR="004B5B51">
        <w:rPr>
          <w:i/>
          <w:iCs/>
          <w:color w:val="7F7F7F"/>
          <w:sz w:val="20"/>
          <w:szCs w:val="20"/>
        </w:rPr>
        <w:t>.</w:t>
      </w:r>
      <w:r>
        <w:rPr>
          <w:i/>
          <w:iCs/>
          <w:color w:val="7F7F7F"/>
          <w:sz w:val="20"/>
          <w:szCs w:val="20"/>
        </w:rPr>
        <w:t xml:space="preserve"> </w:t>
      </w:r>
      <w:r w:rsidR="004B5B51">
        <w:rPr>
          <w:i/>
          <w:iCs/>
          <w:color w:val="7F7F7F"/>
          <w:sz w:val="20"/>
          <w:szCs w:val="20"/>
        </w:rPr>
        <w:t>I</w:t>
      </w:r>
      <w:r>
        <w:rPr>
          <w:i/>
          <w:iCs/>
          <w:color w:val="7F7F7F"/>
          <w:sz w:val="20"/>
          <w:szCs w:val="20"/>
        </w:rPr>
        <w:t>nsert the image here; a detail or a manuscript folio is described in the same way]</w:t>
      </w:r>
    </w:p>
    <w:p w14:paraId="2B8063B3" w14:textId="77777777" w:rsidR="00D0219E" w:rsidRDefault="00D224FF">
      <w:pPr>
        <w:pStyle w:val="AnastasisFigureCaption"/>
      </w:pPr>
      <w:r>
        <w:rPr>
          <w:b/>
          <w:bCs/>
        </w:rPr>
        <w:t>Fig. 2.</w:t>
      </w:r>
      <w:r>
        <w:t xml:space="preserve"> Ms. 000, </w:t>
      </w:r>
      <w:r>
        <w:rPr>
          <w:i/>
          <w:iCs/>
        </w:rPr>
        <w:t>Title of the Manuscript</w:t>
      </w:r>
      <w:r>
        <w:t>, miniature,</w:t>
      </w:r>
      <w:r>
        <w:t xml:space="preserve"> fol. 00r, Name of the Library, City. Source: name of the source.</w:t>
      </w:r>
    </w:p>
    <w:p w14:paraId="2735ADA7" w14:textId="77777777" w:rsidR="00D0219E" w:rsidRDefault="00D224FF">
      <w:pPr>
        <w:pStyle w:val="AnastasisListHeading"/>
      </w:pPr>
      <w:r>
        <w:t>List and sources of illustrations:</w:t>
      </w:r>
    </w:p>
    <w:p w14:paraId="5153B383" w14:textId="77777777" w:rsidR="00D0219E" w:rsidRDefault="00D224FF">
      <w:pPr>
        <w:pStyle w:val="AnastasisListEntry"/>
      </w:pPr>
      <w:r>
        <w:rPr>
          <w:b/>
          <w:bCs/>
        </w:rPr>
        <w:t>Fig. 1.</w:t>
      </w:r>
      <w:r>
        <w:t xml:space="preserve"> Author, </w:t>
      </w:r>
      <w:r>
        <w:rPr>
          <w:i/>
          <w:iCs/>
        </w:rPr>
        <w:t>Title of the Work</w:t>
      </w:r>
      <w:r>
        <w:t>, technique, date, Institution, City. Source: name of the source (reproduced by permission of the Museum).</w:t>
      </w:r>
    </w:p>
    <w:p w14:paraId="131A8C3F" w14:textId="77777777" w:rsidR="00D0219E" w:rsidRDefault="00D224FF">
      <w:pPr>
        <w:pStyle w:val="AnastasisListEntry"/>
      </w:pPr>
      <w:r>
        <w:rPr>
          <w:b/>
          <w:bCs/>
        </w:rPr>
        <w:t>Fig. 2.</w:t>
      </w:r>
      <w:r>
        <w:t xml:space="preserve"> Ms. 000</w:t>
      </w:r>
      <w:r>
        <w:t xml:space="preserve">, </w:t>
      </w:r>
      <w:r>
        <w:rPr>
          <w:i/>
          <w:iCs/>
        </w:rPr>
        <w:t>Title of the Manuscript</w:t>
      </w:r>
      <w:r>
        <w:t>, miniature, fol. 00r, Name of the Library, City. Source: name of the source.</w:t>
      </w:r>
    </w:p>
    <w:p w14:paraId="7C8316B0" w14:textId="77777777" w:rsidR="00D0219E" w:rsidRDefault="00D224FF">
      <w:pPr>
        <w:pStyle w:val="AnastasisListHeading"/>
      </w:pPr>
      <w:r>
        <w:t>Bibliography:</w:t>
      </w:r>
    </w:p>
    <w:p w14:paraId="4C0A5AEB" w14:textId="77777777" w:rsidR="00D0219E" w:rsidRDefault="00D224FF" w:rsidP="00891E03">
      <w:pPr>
        <w:pStyle w:val="AnastasisInstruction"/>
        <w:jc w:val="both"/>
      </w:pPr>
      <w:r>
        <w:t>▸ Subdivide only when the article uses primary material: keep Sources for manuscripts, archival documents, critical editions, exhibition ca</w:t>
      </w:r>
      <w:r>
        <w:t>talogues and collections, and Secondary literature for the rest. If there is no primary material, delete both subheadings and give a single alphabetical list under Bibliography.</w:t>
      </w:r>
    </w:p>
    <w:p w14:paraId="444EC250" w14:textId="77777777" w:rsidR="00D0219E" w:rsidRDefault="00D224FF">
      <w:pPr>
        <w:pStyle w:val="AnastasisListHeading"/>
      </w:pPr>
      <w:r>
        <w:t>Sources:</w:t>
      </w:r>
    </w:p>
    <w:p w14:paraId="1C8141D8" w14:textId="77777777" w:rsidR="00D0219E" w:rsidRDefault="00D224FF">
      <w:pPr>
        <w:pStyle w:val="AnastasisListEntry"/>
      </w:pPr>
      <w:r>
        <w:t>Ms. Add. 42130, British Library, London.</w:t>
      </w:r>
    </w:p>
    <w:p w14:paraId="25C7B996" w14:textId="77777777" w:rsidR="00D0219E" w:rsidRDefault="00D224FF">
      <w:pPr>
        <w:pStyle w:val="AnastasisListHeading"/>
      </w:pPr>
      <w:r>
        <w:t>Secondary literature:</w:t>
      </w:r>
    </w:p>
    <w:p w14:paraId="7A277938" w14:textId="77777777" w:rsidR="00D0219E" w:rsidRDefault="00D224FF">
      <w:pPr>
        <w:pStyle w:val="AnastasisListEntry"/>
      </w:pPr>
      <w:r>
        <w:rPr>
          <w:b/>
          <w:bCs/>
        </w:rPr>
        <w:t>Camill</w:t>
      </w:r>
      <w:r>
        <w:rPr>
          <w:b/>
          <w:bCs/>
        </w:rPr>
        <w:t>e, Michael,</w:t>
      </w:r>
      <w:r>
        <w:t xml:space="preserve"> </w:t>
      </w:r>
      <w:r>
        <w:rPr>
          <w:i/>
          <w:iCs/>
        </w:rPr>
        <w:t>The Gothic Idol: Ideology and Image-Making in Medieval Art</w:t>
      </w:r>
      <w:r>
        <w:t>, Cambridge University Press, Cambridge, 1989.</w:t>
      </w:r>
    </w:p>
    <w:p w14:paraId="57624F5B" w14:textId="77777777" w:rsidR="00D0219E" w:rsidRDefault="00D224FF">
      <w:pPr>
        <w:pStyle w:val="AnastasisListEntry"/>
      </w:pPr>
      <w:r>
        <w:rPr>
          <w:b/>
          <w:bCs/>
        </w:rPr>
        <w:lastRenderedPageBreak/>
        <w:t>Cormack, Robin,</w:t>
      </w:r>
      <w:r>
        <w:t xml:space="preserve"> “Painting after Iconoclasm”, in Anthony Bryer, Judith Herrin (eds.), </w:t>
      </w:r>
      <w:r>
        <w:rPr>
          <w:i/>
          <w:iCs/>
        </w:rPr>
        <w:t>Iconoclasm</w:t>
      </w:r>
      <w:r>
        <w:t>, Centre for Byzantine Studies, University o</w:t>
      </w:r>
      <w:r>
        <w:t>f Birmingham, Birmingham, 1977, pp. 147-163.</w:t>
      </w:r>
    </w:p>
    <w:p w14:paraId="718B3331" w14:textId="77777777" w:rsidR="00D0219E" w:rsidRDefault="00D224FF">
      <w:pPr>
        <w:pStyle w:val="AnastasisListEntry"/>
      </w:pPr>
      <w:r>
        <w:rPr>
          <w:b/>
          <w:bCs/>
        </w:rPr>
        <w:t>Huizinga, Johan,</w:t>
      </w:r>
      <w:r>
        <w:t xml:space="preserve"> </w:t>
      </w:r>
      <w:proofErr w:type="spellStart"/>
      <w:r>
        <w:rPr>
          <w:i/>
          <w:iCs/>
        </w:rPr>
        <w:t>Herfsttij</w:t>
      </w:r>
      <w:proofErr w:type="spellEnd"/>
      <w:r>
        <w:rPr>
          <w:i/>
          <w:iCs/>
        </w:rPr>
        <w:t xml:space="preserve"> der </w:t>
      </w:r>
      <w:proofErr w:type="spellStart"/>
      <w:r>
        <w:rPr>
          <w:i/>
          <w:iCs/>
        </w:rPr>
        <w:t>Middeleeuwen</w:t>
      </w:r>
      <w:proofErr w:type="spellEnd"/>
      <w:r>
        <w:t xml:space="preserve">, H. D. </w:t>
      </w:r>
      <w:proofErr w:type="spellStart"/>
      <w:r>
        <w:t>Tjeenk</w:t>
      </w:r>
      <w:proofErr w:type="spellEnd"/>
      <w:r>
        <w:t xml:space="preserve"> </w:t>
      </w:r>
      <w:proofErr w:type="spellStart"/>
      <w:r>
        <w:t>Willink</w:t>
      </w:r>
      <w:proofErr w:type="spellEnd"/>
      <w:r>
        <w:t xml:space="preserve">, Haarlem, 1919, trans. Rodney J. Payton, Ulrich Mammitzsch, </w:t>
      </w:r>
      <w:r>
        <w:rPr>
          <w:i/>
          <w:iCs/>
        </w:rPr>
        <w:t>The Autumn of the Middle Ages</w:t>
      </w:r>
      <w:r>
        <w:t>, University of Chicago Press, Chicago, 1996.</w:t>
      </w:r>
    </w:p>
    <w:p w14:paraId="0437D68A" w14:textId="77777777" w:rsidR="00D0219E" w:rsidRDefault="00D224FF">
      <w:pPr>
        <w:pStyle w:val="AnastasisListEntry"/>
      </w:pPr>
      <w:r>
        <w:rPr>
          <w:b/>
          <w:bCs/>
        </w:rPr>
        <w:t>Kitzinger,</w:t>
      </w:r>
      <w:r>
        <w:rPr>
          <w:b/>
          <w:bCs/>
        </w:rPr>
        <w:t xml:space="preserve"> Ernst,</w:t>
      </w:r>
      <w:r>
        <w:t xml:space="preserve"> “The Cult of Images in the Age before Iconoclasm”, in “</w:t>
      </w:r>
      <w:r>
        <w:rPr>
          <w:i/>
          <w:iCs/>
        </w:rPr>
        <w:t>Dumbarton Oaks Papers</w:t>
      </w:r>
      <w:r>
        <w:t>”, No. 8 / 1954, (Dumbarton Oaks Research Library and Collection), pp. 83-150.</w:t>
      </w:r>
    </w:p>
    <w:p w14:paraId="6D2E29CC" w14:textId="77777777" w:rsidR="00D0219E" w:rsidRDefault="00D224FF">
      <w:pPr>
        <w:pStyle w:val="AnastasisListEntry"/>
      </w:pPr>
      <w:r>
        <w:rPr>
          <w:b/>
          <w:bCs/>
        </w:rPr>
        <w:t>Panofsky, Erwin,</w:t>
      </w:r>
      <w:r>
        <w:t xml:space="preserve"> </w:t>
      </w:r>
      <w:r>
        <w:rPr>
          <w:i/>
          <w:iCs/>
        </w:rPr>
        <w:t>Early Netherlandish Painting: Its Origins and Character</w:t>
      </w:r>
      <w:r>
        <w:t xml:space="preserve">, Harvard University </w:t>
      </w:r>
      <w:r>
        <w:t>Press, Cambridge, Mass., 1953.</w:t>
      </w:r>
    </w:p>
    <w:p w14:paraId="1F0663C2" w14:textId="77777777" w:rsidR="00D0219E" w:rsidRDefault="00D224FF">
      <w:pPr>
        <w:pStyle w:val="AnastasisListEntry"/>
      </w:pPr>
      <w:r>
        <w:rPr>
          <w:b/>
          <w:bCs/>
        </w:rPr>
        <w:t>Panofsky, Erwin,</w:t>
      </w:r>
      <w:r>
        <w:t xml:space="preserve"> </w:t>
      </w:r>
      <w:r>
        <w:rPr>
          <w:i/>
          <w:iCs/>
        </w:rPr>
        <w:t>Gothic Architecture and Scholasticism</w:t>
      </w:r>
      <w:r>
        <w:t>, Archabbey Press, Latrobe, 1951.</w:t>
      </w:r>
    </w:p>
    <w:p w14:paraId="2746BA8C" w14:textId="7522FE6E" w:rsidR="00D0219E" w:rsidRDefault="00D224FF" w:rsidP="00891E03">
      <w:pPr>
        <w:pStyle w:val="AnastasisListEntry"/>
      </w:pPr>
      <w:r>
        <w:rPr>
          <w:b/>
          <w:bCs/>
        </w:rPr>
        <w:t>The Metropolitan Museum of Art,</w:t>
      </w:r>
      <w:r>
        <w:t xml:space="preserve"> </w:t>
      </w:r>
      <w:r>
        <w:rPr>
          <w:i/>
          <w:iCs/>
        </w:rPr>
        <w:t>Byzantium (ca. 330</w:t>
      </w:r>
      <w:r w:rsidR="004B5B51">
        <w:rPr>
          <w:i/>
          <w:iCs/>
        </w:rPr>
        <w:t>-</w:t>
      </w:r>
      <w:r>
        <w:rPr>
          <w:i/>
          <w:iCs/>
        </w:rPr>
        <w:t>1453)</w:t>
      </w:r>
      <w:r>
        <w:t>, October 2001, Heilbrunn Timeline of Art History, www.metmuseum.org, accessed 12</w:t>
      </w:r>
      <w:r>
        <w:t>/03/2026.</w:t>
      </w:r>
    </w:p>
    <w:sectPr w:rsidR="00D0219E" w:rsidSect="00CF5882">
      <w:headerReference w:type="even" r:id="rId7"/>
      <w:pgSz w:w="9412" w:h="13608"/>
      <w:pgMar w:top="1247" w:right="1134" w:bottom="1247" w:left="1134" w:header="709" w:footer="709" w:gutter="284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5FD994" w14:textId="77777777" w:rsidR="00D224FF" w:rsidRDefault="00D224FF">
      <w:r>
        <w:separator/>
      </w:r>
    </w:p>
  </w:endnote>
  <w:endnote w:type="continuationSeparator" w:id="0">
    <w:p w14:paraId="26AEF6E4" w14:textId="77777777" w:rsidR="00D224FF" w:rsidRDefault="00D22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4BC7B7" w14:textId="77777777" w:rsidR="00D224FF" w:rsidRDefault="00D224FF">
      <w:r>
        <w:separator/>
      </w:r>
    </w:p>
  </w:footnote>
  <w:footnote w:type="continuationSeparator" w:id="0">
    <w:p w14:paraId="262AC648" w14:textId="77777777" w:rsidR="00D224FF" w:rsidRDefault="00D224FF">
      <w:r>
        <w:continuationSeparator/>
      </w:r>
    </w:p>
  </w:footnote>
  <w:footnote w:id="1">
    <w:p w14:paraId="2BBE81C9" w14:textId="614BC67A" w:rsidR="00D0219E" w:rsidRPr="00234C50" w:rsidRDefault="00D224FF">
      <w:pPr>
        <w:rPr>
          <w:sz w:val="18"/>
          <w:szCs w:val="18"/>
        </w:rPr>
      </w:pPr>
      <w:r w:rsidRPr="00234C50">
        <w:rPr>
          <w:rStyle w:val="FootnoteReference"/>
          <w:sz w:val="18"/>
          <w:szCs w:val="18"/>
        </w:rPr>
        <w:t>*</w:t>
      </w:r>
      <w:r w:rsidRPr="00234C50">
        <w:rPr>
          <w:sz w:val="18"/>
          <w:szCs w:val="18"/>
        </w:rPr>
        <w:t xml:space="preserve"> Academic position, Department / Faculty, University, City, Country, ORCID ID, e-mail.</w:t>
      </w:r>
    </w:p>
  </w:footnote>
  <w:footnote w:id="2">
    <w:p w14:paraId="4685D2F0" w14:textId="7A57FBB1" w:rsidR="00D0219E" w:rsidRPr="00234C50" w:rsidRDefault="00D224FF">
      <w:pPr>
        <w:rPr>
          <w:sz w:val="18"/>
          <w:szCs w:val="18"/>
        </w:rPr>
      </w:pPr>
      <w:r w:rsidRPr="00234C50">
        <w:rPr>
          <w:rStyle w:val="FootnoteReference"/>
          <w:sz w:val="18"/>
          <w:szCs w:val="18"/>
        </w:rPr>
        <w:t>**</w:t>
      </w:r>
      <w:r w:rsidRPr="00234C50">
        <w:rPr>
          <w:sz w:val="18"/>
          <w:szCs w:val="18"/>
        </w:rPr>
        <w:t xml:space="preserve"> Academic position, Department / Faculty, University, City, Country, ORCID ID, e-mail: (corresponding author).</w:t>
      </w:r>
    </w:p>
  </w:footnote>
  <w:footnote w:id="3">
    <w:p w14:paraId="16FA0FA4" w14:textId="5AB54652" w:rsidR="00D0219E" w:rsidRPr="00234C50" w:rsidRDefault="00D224FF">
      <w:pPr>
        <w:rPr>
          <w:sz w:val="18"/>
          <w:szCs w:val="18"/>
        </w:rPr>
      </w:pPr>
      <w:r w:rsidRPr="00234C50">
        <w:rPr>
          <w:rStyle w:val="FootnoteReference"/>
          <w:sz w:val="18"/>
          <w:szCs w:val="18"/>
        </w:rPr>
        <w:footnoteRef/>
      </w:r>
      <w:r w:rsidR="00891E03">
        <w:rPr>
          <w:sz w:val="18"/>
          <w:szCs w:val="18"/>
        </w:rPr>
        <w:t xml:space="preserve"> </w:t>
      </w:r>
      <w:r w:rsidRPr="00234C50">
        <w:rPr>
          <w:sz w:val="18"/>
          <w:szCs w:val="18"/>
        </w:rPr>
        <w:t xml:space="preserve">Panofsky, Erwin, </w:t>
      </w:r>
      <w:r w:rsidRPr="00234C50">
        <w:rPr>
          <w:i/>
          <w:iCs/>
          <w:sz w:val="18"/>
          <w:szCs w:val="18"/>
        </w:rPr>
        <w:t>Gothic Architecture and Scholasticism</w:t>
      </w:r>
      <w:r w:rsidRPr="00234C50">
        <w:rPr>
          <w:sz w:val="18"/>
          <w:szCs w:val="18"/>
        </w:rPr>
        <w:t>, Archabbey Press, Latrobe, 1951, p. 44.</w:t>
      </w:r>
    </w:p>
  </w:footnote>
  <w:footnote w:id="4">
    <w:p w14:paraId="1236C0E0" w14:textId="77578F3A" w:rsidR="00D0219E" w:rsidRPr="00234C50" w:rsidRDefault="00D224FF">
      <w:pPr>
        <w:rPr>
          <w:sz w:val="18"/>
          <w:szCs w:val="18"/>
        </w:rPr>
      </w:pPr>
      <w:r w:rsidRPr="00234C50">
        <w:rPr>
          <w:rStyle w:val="FootnoteReference"/>
          <w:sz w:val="18"/>
          <w:szCs w:val="18"/>
        </w:rPr>
        <w:footnoteRef/>
      </w:r>
      <w:r w:rsidR="00891E03">
        <w:rPr>
          <w:i/>
          <w:iCs/>
          <w:sz w:val="18"/>
          <w:szCs w:val="18"/>
        </w:rPr>
        <w:t xml:space="preserve"> </w:t>
      </w:r>
      <w:r w:rsidRPr="00234C50">
        <w:rPr>
          <w:i/>
          <w:iCs/>
          <w:sz w:val="18"/>
          <w:szCs w:val="18"/>
        </w:rPr>
        <w:t>Ibid.</w:t>
      </w:r>
      <w:r w:rsidRPr="00234C50">
        <w:rPr>
          <w:sz w:val="18"/>
          <w:szCs w:val="18"/>
        </w:rPr>
        <w:t>, p. 51.</w:t>
      </w:r>
    </w:p>
  </w:footnote>
  <w:footnote w:id="5">
    <w:p w14:paraId="599210FD" w14:textId="751EA34C" w:rsidR="00D0219E" w:rsidRPr="00234C50" w:rsidRDefault="00D224FF">
      <w:pPr>
        <w:rPr>
          <w:sz w:val="18"/>
          <w:szCs w:val="18"/>
        </w:rPr>
      </w:pPr>
      <w:r w:rsidRPr="00234C50">
        <w:rPr>
          <w:rStyle w:val="FootnoteReference"/>
          <w:sz w:val="18"/>
          <w:szCs w:val="18"/>
        </w:rPr>
        <w:footnoteRef/>
      </w:r>
      <w:r w:rsidR="00891E03">
        <w:rPr>
          <w:sz w:val="18"/>
          <w:szCs w:val="18"/>
        </w:rPr>
        <w:t xml:space="preserve"> </w:t>
      </w:r>
      <w:r w:rsidRPr="00234C50">
        <w:rPr>
          <w:sz w:val="18"/>
          <w:szCs w:val="18"/>
        </w:rPr>
        <w:t xml:space="preserve">Panofsky, Erwin, </w:t>
      </w:r>
      <w:r w:rsidRPr="00234C50">
        <w:rPr>
          <w:i/>
          <w:iCs/>
          <w:sz w:val="18"/>
          <w:szCs w:val="18"/>
        </w:rPr>
        <w:t>Early Netherl</w:t>
      </w:r>
      <w:r w:rsidRPr="00234C50">
        <w:rPr>
          <w:i/>
          <w:iCs/>
          <w:sz w:val="18"/>
          <w:szCs w:val="18"/>
        </w:rPr>
        <w:t>andish Painting: Its Origins and Character</w:t>
      </w:r>
      <w:r w:rsidRPr="00234C50">
        <w:rPr>
          <w:sz w:val="18"/>
          <w:szCs w:val="18"/>
        </w:rPr>
        <w:t>, Harvard University Press, Cambridge, Mass., 1953, p. 131.</w:t>
      </w:r>
    </w:p>
  </w:footnote>
  <w:footnote w:id="6">
    <w:p w14:paraId="53A29BEA" w14:textId="336B84EF" w:rsidR="00D0219E" w:rsidRPr="00234C50" w:rsidRDefault="00D224FF">
      <w:pPr>
        <w:rPr>
          <w:sz w:val="18"/>
          <w:szCs w:val="18"/>
        </w:rPr>
      </w:pPr>
      <w:r w:rsidRPr="00234C50">
        <w:rPr>
          <w:rStyle w:val="FootnoteReference"/>
          <w:sz w:val="18"/>
          <w:szCs w:val="18"/>
        </w:rPr>
        <w:footnoteRef/>
      </w:r>
      <w:r w:rsidR="00891E03">
        <w:rPr>
          <w:sz w:val="18"/>
          <w:szCs w:val="18"/>
        </w:rPr>
        <w:t xml:space="preserve"> </w:t>
      </w:r>
      <w:r w:rsidRPr="00234C50">
        <w:rPr>
          <w:sz w:val="18"/>
          <w:szCs w:val="18"/>
        </w:rPr>
        <w:t xml:space="preserve">Huizinga, Johan, </w:t>
      </w:r>
      <w:proofErr w:type="spellStart"/>
      <w:r w:rsidRPr="00234C50">
        <w:rPr>
          <w:i/>
          <w:iCs/>
          <w:sz w:val="18"/>
          <w:szCs w:val="18"/>
        </w:rPr>
        <w:t>Herfsttij</w:t>
      </w:r>
      <w:proofErr w:type="spellEnd"/>
      <w:r w:rsidRPr="00234C50">
        <w:rPr>
          <w:i/>
          <w:iCs/>
          <w:sz w:val="18"/>
          <w:szCs w:val="18"/>
        </w:rPr>
        <w:t xml:space="preserve"> der </w:t>
      </w:r>
      <w:proofErr w:type="spellStart"/>
      <w:r w:rsidRPr="00234C50">
        <w:rPr>
          <w:i/>
          <w:iCs/>
          <w:sz w:val="18"/>
          <w:szCs w:val="18"/>
        </w:rPr>
        <w:t>Middeleeuwen</w:t>
      </w:r>
      <w:proofErr w:type="spellEnd"/>
      <w:r w:rsidRPr="00234C50">
        <w:rPr>
          <w:sz w:val="18"/>
          <w:szCs w:val="18"/>
        </w:rPr>
        <w:t xml:space="preserve">, H. D. </w:t>
      </w:r>
      <w:proofErr w:type="spellStart"/>
      <w:r w:rsidRPr="00234C50">
        <w:rPr>
          <w:sz w:val="18"/>
          <w:szCs w:val="18"/>
        </w:rPr>
        <w:t>Tjeenk</w:t>
      </w:r>
      <w:proofErr w:type="spellEnd"/>
      <w:r w:rsidRPr="00234C50">
        <w:rPr>
          <w:sz w:val="18"/>
          <w:szCs w:val="18"/>
        </w:rPr>
        <w:t xml:space="preserve"> </w:t>
      </w:r>
      <w:proofErr w:type="spellStart"/>
      <w:r w:rsidRPr="00234C50">
        <w:rPr>
          <w:sz w:val="18"/>
          <w:szCs w:val="18"/>
        </w:rPr>
        <w:t>Willink</w:t>
      </w:r>
      <w:proofErr w:type="spellEnd"/>
      <w:r w:rsidRPr="00234C50">
        <w:rPr>
          <w:sz w:val="18"/>
          <w:szCs w:val="18"/>
        </w:rPr>
        <w:t xml:space="preserve">, Haarlem, 1919, trans. Rodney J. Payton, Ulrich Mammitzsch, </w:t>
      </w:r>
      <w:r w:rsidRPr="00234C50">
        <w:rPr>
          <w:i/>
          <w:iCs/>
          <w:sz w:val="18"/>
          <w:szCs w:val="18"/>
        </w:rPr>
        <w:t xml:space="preserve">The Autumn of the Middle </w:t>
      </w:r>
      <w:r w:rsidRPr="00234C50">
        <w:rPr>
          <w:i/>
          <w:iCs/>
          <w:sz w:val="18"/>
          <w:szCs w:val="18"/>
        </w:rPr>
        <w:t>Ages</w:t>
      </w:r>
      <w:r w:rsidRPr="00234C50">
        <w:rPr>
          <w:sz w:val="18"/>
          <w:szCs w:val="18"/>
        </w:rPr>
        <w:t>, University of Chicago Press, Chicago, 1996, p. 176.</w:t>
      </w:r>
    </w:p>
  </w:footnote>
  <w:footnote w:id="7">
    <w:p w14:paraId="20445054" w14:textId="3ED79513" w:rsidR="00D0219E" w:rsidRPr="00234C50" w:rsidRDefault="00D224FF">
      <w:pPr>
        <w:rPr>
          <w:sz w:val="18"/>
          <w:szCs w:val="18"/>
        </w:rPr>
      </w:pPr>
      <w:r w:rsidRPr="00234C50">
        <w:rPr>
          <w:rStyle w:val="FootnoteReference"/>
          <w:sz w:val="18"/>
          <w:szCs w:val="18"/>
        </w:rPr>
        <w:footnoteRef/>
      </w:r>
      <w:r w:rsidR="00891E03">
        <w:rPr>
          <w:sz w:val="18"/>
          <w:szCs w:val="18"/>
        </w:rPr>
        <w:t xml:space="preserve"> </w:t>
      </w:r>
      <w:r w:rsidRPr="00234C50">
        <w:rPr>
          <w:sz w:val="18"/>
          <w:szCs w:val="18"/>
        </w:rPr>
        <w:t xml:space="preserve">Cormack, Robin, “Painting after Iconoclasm”, in Anthony Bryer, Judith Herrin (eds.), </w:t>
      </w:r>
      <w:r w:rsidRPr="00234C50">
        <w:rPr>
          <w:i/>
          <w:iCs/>
          <w:sz w:val="18"/>
          <w:szCs w:val="18"/>
        </w:rPr>
        <w:t>Iconoclasm</w:t>
      </w:r>
      <w:r w:rsidRPr="00234C50">
        <w:rPr>
          <w:sz w:val="18"/>
          <w:szCs w:val="18"/>
        </w:rPr>
        <w:t>, Centre for Byzantine Studies, University of Birmingham, Birmingham, 1977, pp. 147-163, p. 152.</w:t>
      </w:r>
    </w:p>
  </w:footnote>
  <w:footnote w:id="8">
    <w:p w14:paraId="77CA64B4" w14:textId="6F7EC1FB" w:rsidR="00D0219E" w:rsidRPr="00234C50" w:rsidRDefault="00D224FF">
      <w:pPr>
        <w:rPr>
          <w:sz w:val="18"/>
          <w:szCs w:val="18"/>
        </w:rPr>
      </w:pPr>
      <w:r w:rsidRPr="00234C50">
        <w:rPr>
          <w:rStyle w:val="FootnoteReference"/>
          <w:sz w:val="18"/>
          <w:szCs w:val="18"/>
        </w:rPr>
        <w:footnoteRef/>
      </w:r>
      <w:r w:rsidR="00891E03">
        <w:rPr>
          <w:sz w:val="18"/>
          <w:szCs w:val="18"/>
        </w:rPr>
        <w:t xml:space="preserve"> </w:t>
      </w:r>
      <w:r w:rsidRPr="00234C50">
        <w:rPr>
          <w:sz w:val="18"/>
          <w:szCs w:val="18"/>
        </w:rPr>
        <w:t>Pa</w:t>
      </w:r>
      <w:r w:rsidRPr="00234C50">
        <w:rPr>
          <w:sz w:val="18"/>
          <w:szCs w:val="18"/>
        </w:rPr>
        <w:t xml:space="preserve">nofsky, Erwin, </w:t>
      </w:r>
      <w:r w:rsidRPr="00234C50">
        <w:rPr>
          <w:i/>
          <w:iCs/>
          <w:sz w:val="18"/>
          <w:szCs w:val="18"/>
        </w:rPr>
        <w:t>Gothic Architecture and Scholasticism</w:t>
      </w:r>
      <w:r w:rsidRPr="00234C50">
        <w:rPr>
          <w:sz w:val="18"/>
          <w:szCs w:val="18"/>
        </w:rPr>
        <w:t xml:space="preserve">, </w:t>
      </w:r>
      <w:r w:rsidRPr="00234C50">
        <w:rPr>
          <w:i/>
          <w:iCs/>
          <w:sz w:val="18"/>
          <w:szCs w:val="18"/>
        </w:rPr>
        <w:t>op. cit.</w:t>
      </w:r>
      <w:r w:rsidRPr="00234C50">
        <w:rPr>
          <w:sz w:val="18"/>
          <w:szCs w:val="18"/>
        </w:rPr>
        <w:t>, p. 58.</w:t>
      </w:r>
    </w:p>
  </w:footnote>
  <w:footnote w:id="9">
    <w:p w14:paraId="2A864474" w14:textId="6CE4B058" w:rsidR="00D0219E" w:rsidRPr="00234C50" w:rsidRDefault="00D224FF">
      <w:pPr>
        <w:rPr>
          <w:sz w:val="18"/>
          <w:szCs w:val="18"/>
        </w:rPr>
      </w:pPr>
      <w:r w:rsidRPr="00234C50">
        <w:rPr>
          <w:rStyle w:val="FootnoteReference"/>
          <w:sz w:val="18"/>
          <w:szCs w:val="18"/>
        </w:rPr>
        <w:footnoteRef/>
      </w:r>
      <w:r w:rsidR="00891E03">
        <w:rPr>
          <w:sz w:val="18"/>
          <w:szCs w:val="18"/>
        </w:rPr>
        <w:t xml:space="preserve"> </w:t>
      </w:r>
      <w:r w:rsidRPr="00234C50">
        <w:rPr>
          <w:sz w:val="18"/>
          <w:szCs w:val="18"/>
        </w:rPr>
        <w:t>Kitzinger, Ernst, “The Cult of Images in the Age before Iconoclasm”, in “</w:t>
      </w:r>
      <w:r w:rsidRPr="00234C50">
        <w:rPr>
          <w:i/>
          <w:iCs/>
          <w:sz w:val="18"/>
          <w:szCs w:val="18"/>
        </w:rPr>
        <w:t>Dumbarton Oaks Papers</w:t>
      </w:r>
      <w:r w:rsidRPr="00234C50">
        <w:rPr>
          <w:sz w:val="18"/>
          <w:szCs w:val="18"/>
        </w:rPr>
        <w:t>”, No. 8 / 1954, (Dumbarton Oaks Research Library and Collection), pp. 83-150, p. 95.</w:t>
      </w:r>
    </w:p>
  </w:footnote>
  <w:footnote w:id="10">
    <w:p w14:paraId="7BFCE1BD" w14:textId="1C4E0B0B" w:rsidR="00D0219E" w:rsidRPr="00234C50" w:rsidRDefault="00D224FF">
      <w:pPr>
        <w:rPr>
          <w:sz w:val="18"/>
          <w:szCs w:val="18"/>
        </w:rPr>
      </w:pPr>
      <w:r w:rsidRPr="00234C50">
        <w:rPr>
          <w:rStyle w:val="FootnoteReference"/>
          <w:sz w:val="18"/>
          <w:szCs w:val="18"/>
        </w:rPr>
        <w:footnoteRef/>
      </w:r>
      <w:r w:rsidR="00891E03">
        <w:rPr>
          <w:sz w:val="18"/>
          <w:szCs w:val="18"/>
        </w:rPr>
        <w:t xml:space="preserve"> </w:t>
      </w:r>
      <w:r w:rsidRPr="00234C50">
        <w:rPr>
          <w:sz w:val="18"/>
          <w:szCs w:val="18"/>
        </w:rPr>
        <w:t>T</w:t>
      </w:r>
      <w:r w:rsidRPr="00234C50">
        <w:rPr>
          <w:sz w:val="18"/>
          <w:szCs w:val="18"/>
        </w:rPr>
        <w:t xml:space="preserve">he Metropolitan Museum of Art, </w:t>
      </w:r>
      <w:r w:rsidRPr="00234C50">
        <w:rPr>
          <w:i/>
          <w:iCs/>
          <w:sz w:val="18"/>
          <w:szCs w:val="18"/>
        </w:rPr>
        <w:t>Byzantium (ca. 330–1453)</w:t>
      </w:r>
      <w:r w:rsidRPr="00234C50">
        <w:rPr>
          <w:sz w:val="18"/>
          <w:szCs w:val="18"/>
        </w:rPr>
        <w:t>, October 2001, Heilbrunn Timeline of Art History, www.metmuseum.org, accessed 12/03/2026.</w:t>
      </w:r>
    </w:p>
  </w:footnote>
  <w:footnote w:id="11">
    <w:p w14:paraId="2F6D1A6E" w14:textId="790A6E33" w:rsidR="00D0219E" w:rsidRPr="00234C50" w:rsidRDefault="00D224FF">
      <w:pPr>
        <w:rPr>
          <w:sz w:val="18"/>
          <w:szCs w:val="18"/>
        </w:rPr>
      </w:pPr>
      <w:r w:rsidRPr="00234C50">
        <w:rPr>
          <w:rStyle w:val="FootnoteReference"/>
          <w:sz w:val="18"/>
          <w:szCs w:val="18"/>
        </w:rPr>
        <w:footnoteRef/>
      </w:r>
      <w:r w:rsidR="00891E03">
        <w:rPr>
          <w:i/>
          <w:iCs/>
          <w:sz w:val="18"/>
          <w:szCs w:val="18"/>
        </w:rPr>
        <w:t xml:space="preserve"> </w:t>
      </w:r>
      <w:r w:rsidRPr="00234C50">
        <w:rPr>
          <w:i/>
          <w:iCs/>
          <w:sz w:val="18"/>
          <w:szCs w:val="18"/>
        </w:rPr>
        <w:t>Ibid</w:t>
      </w:r>
      <w:proofErr w:type="gramStart"/>
      <w:r w:rsidRPr="00234C50">
        <w:rPr>
          <w:i/>
          <w:iCs/>
          <w:sz w:val="18"/>
          <w:szCs w:val="18"/>
        </w:rPr>
        <w:t>.</w:t>
      </w:r>
      <w:r w:rsidRPr="00234C50">
        <w:rPr>
          <w:sz w:val="18"/>
          <w:szCs w:val="18"/>
        </w:rPr>
        <w:t>.</w:t>
      </w:r>
      <w:proofErr w:type="gramEnd"/>
    </w:p>
  </w:footnote>
  <w:footnote w:id="12">
    <w:p w14:paraId="079BB0BA" w14:textId="20328620" w:rsidR="00D0219E" w:rsidRPr="00234C50" w:rsidRDefault="00D224FF">
      <w:pPr>
        <w:rPr>
          <w:sz w:val="18"/>
          <w:szCs w:val="18"/>
        </w:rPr>
      </w:pPr>
      <w:r w:rsidRPr="00234C50">
        <w:rPr>
          <w:rStyle w:val="FootnoteReference"/>
          <w:sz w:val="18"/>
          <w:szCs w:val="18"/>
        </w:rPr>
        <w:footnoteRef/>
      </w:r>
      <w:r w:rsidR="00891E03">
        <w:rPr>
          <w:sz w:val="18"/>
          <w:szCs w:val="18"/>
        </w:rPr>
        <w:t xml:space="preserve"> </w:t>
      </w:r>
      <w:r w:rsidRPr="00234C50">
        <w:rPr>
          <w:sz w:val="18"/>
          <w:szCs w:val="18"/>
        </w:rPr>
        <w:t xml:space="preserve">Kitzinger, Ernst, “The Cult of Images in the Age before Iconoclasm”, </w:t>
      </w:r>
      <w:r w:rsidRPr="00234C50">
        <w:rPr>
          <w:i/>
          <w:iCs/>
          <w:sz w:val="18"/>
          <w:szCs w:val="18"/>
        </w:rPr>
        <w:t>op. cit.</w:t>
      </w:r>
      <w:r w:rsidRPr="00234C50">
        <w:rPr>
          <w:sz w:val="18"/>
          <w:szCs w:val="18"/>
        </w:rPr>
        <w:t>, p. 102.</w:t>
      </w:r>
    </w:p>
  </w:footnote>
  <w:footnote w:id="13">
    <w:p w14:paraId="7AD77CF9" w14:textId="4D504D2B" w:rsidR="00D0219E" w:rsidRPr="00234C50" w:rsidRDefault="00D224FF">
      <w:pPr>
        <w:rPr>
          <w:sz w:val="18"/>
          <w:szCs w:val="18"/>
        </w:rPr>
      </w:pPr>
      <w:r w:rsidRPr="00234C50">
        <w:rPr>
          <w:rStyle w:val="FootnoteReference"/>
          <w:sz w:val="18"/>
          <w:szCs w:val="18"/>
        </w:rPr>
        <w:footnoteRef/>
      </w:r>
      <w:r w:rsidR="00891E03">
        <w:rPr>
          <w:sz w:val="18"/>
          <w:szCs w:val="18"/>
        </w:rPr>
        <w:t xml:space="preserve"> </w:t>
      </w:r>
      <w:r w:rsidRPr="00234C50">
        <w:rPr>
          <w:sz w:val="18"/>
          <w:szCs w:val="18"/>
        </w:rPr>
        <w:t>Ms. Add. 4</w:t>
      </w:r>
      <w:r w:rsidRPr="00234C50">
        <w:rPr>
          <w:sz w:val="18"/>
          <w:szCs w:val="18"/>
        </w:rPr>
        <w:t>2130, fol. 171r, British Library, London.</w:t>
      </w:r>
    </w:p>
  </w:footnote>
  <w:footnote w:id="14">
    <w:p w14:paraId="37E25F82" w14:textId="1CAD58C5" w:rsidR="00D0219E" w:rsidRPr="00234C50" w:rsidRDefault="00D224FF">
      <w:pPr>
        <w:rPr>
          <w:sz w:val="18"/>
          <w:szCs w:val="18"/>
        </w:rPr>
      </w:pPr>
      <w:r w:rsidRPr="00234C50">
        <w:rPr>
          <w:rStyle w:val="FootnoteReference"/>
          <w:sz w:val="18"/>
          <w:szCs w:val="18"/>
        </w:rPr>
        <w:footnoteRef/>
      </w:r>
      <w:r w:rsidR="00891E03">
        <w:rPr>
          <w:sz w:val="18"/>
          <w:szCs w:val="18"/>
        </w:rPr>
        <w:t xml:space="preserve"> </w:t>
      </w:r>
      <w:r w:rsidRPr="00234C50">
        <w:rPr>
          <w:sz w:val="18"/>
          <w:szCs w:val="18"/>
        </w:rPr>
        <w:t xml:space="preserve">Camille, Michael, </w:t>
      </w:r>
      <w:r w:rsidRPr="00234C50">
        <w:rPr>
          <w:i/>
          <w:iCs/>
          <w:sz w:val="18"/>
          <w:szCs w:val="18"/>
        </w:rPr>
        <w:t>The Gothic Idol: Ideology and Image-Making in Medieval Art</w:t>
      </w:r>
      <w:r w:rsidRPr="00234C50">
        <w:rPr>
          <w:sz w:val="18"/>
          <w:szCs w:val="18"/>
        </w:rPr>
        <w:t>, Cambridge University Press, Cambridge, 1989, p. 203.</w:t>
      </w:r>
    </w:p>
  </w:footnote>
  <w:footnote w:id="15">
    <w:p w14:paraId="0276CC3B" w14:textId="18EBEF63" w:rsidR="00D0219E" w:rsidRPr="00234C50" w:rsidRDefault="00D224FF">
      <w:pPr>
        <w:rPr>
          <w:sz w:val="18"/>
          <w:szCs w:val="18"/>
        </w:rPr>
      </w:pPr>
      <w:r w:rsidRPr="00234C50">
        <w:rPr>
          <w:rStyle w:val="FootnoteReference"/>
          <w:sz w:val="18"/>
          <w:szCs w:val="18"/>
        </w:rPr>
        <w:footnoteRef/>
      </w:r>
      <w:r w:rsidR="00891E03">
        <w:rPr>
          <w:sz w:val="18"/>
          <w:szCs w:val="18"/>
        </w:rPr>
        <w:t xml:space="preserve"> </w:t>
      </w:r>
      <w:r w:rsidRPr="00234C50">
        <w:rPr>
          <w:sz w:val="18"/>
          <w:szCs w:val="18"/>
        </w:rPr>
        <w:t xml:space="preserve">Dvořák, Max, </w:t>
      </w:r>
      <w:r w:rsidRPr="00234C50">
        <w:rPr>
          <w:i/>
          <w:iCs/>
          <w:sz w:val="18"/>
          <w:szCs w:val="18"/>
        </w:rPr>
        <w:t>apud</w:t>
      </w:r>
      <w:r w:rsidRPr="00234C50">
        <w:rPr>
          <w:sz w:val="18"/>
          <w:szCs w:val="18"/>
        </w:rPr>
        <w:t xml:space="preserve"> Panofsky, Erwin, </w:t>
      </w:r>
      <w:r w:rsidRPr="00234C50">
        <w:rPr>
          <w:i/>
          <w:iCs/>
          <w:sz w:val="18"/>
          <w:szCs w:val="18"/>
        </w:rPr>
        <w:t>Gothic Architecture and Scholasticism</w:t>
      </w:r>
      <w:r w:rsidRPr="00234C50">
        <w:rPr>
          <w:sz w:val="18"/>
          <w:szCs w:val="18"/>
        </w:rPr>
        <w:t xml:space="preserve">, </w:t>
      </w:r>
      <w:r w:rsidRPr="00234C50">
        <w:rPr>
          <w:i/>
          <w:iCs/>
          <w:sz w:val="18"/>
          <w:szCs w:val="18"/>
        </w:rPr>
        <w:t>op. c</w:t>
      </w:r>
      <w:r w:rsidRPr="00234C50">
        <w:rPr>
          <w:i/>
          <w:iCs/>
          <w:sz w:val="18"/>
          <w:szCs w:val="18"/>
        </w:rPr>
        <w:t>it.</w:t>
      </w:r>
      <w:r w:rsidRPr="00234C50">
        <w:rPr>
          <w:sz w:val="18"/>
          <w:szCs w:val="18"/>
        </w:rPr>
        <w:t>, p. 20.</w:t>
      </w:r>
    </w:p>
  </w:footnote>
  <w:footnote w:id="16">
    <w:p w14:paraId="2285AA49" w14:textId="2E4B72D8" w:rsidR="00D0219E" w:rsidRPr="00234C50" w:rsidRDefault="00D224FF">
      <w:pPr>
        <w:rPr>
          <w:sz w:val="18"/>
          <w:szCs w:val="18"/>
        </w:rPr>
      </w:pPr>
      <w:r w:rsidRPr="00234C50">
        <w:rPr>
          <w:rStyle w:val="FootnoteReference"/>
          <w:sz w:val="18"/>
          <w:szCs w:val="18"/>
        </w:rPr>
        <w:footnoteRef/>
      </w:r>
      <w:r w:rsidR="00891E03">
        <w:rPr>
          <w:sz w:val="18"/>
          <w:szCs w:val="18"/>
        </w:rPr>
        <w:t xml:space="preserve"> </w:t>
      </w:r>
      <w:r w:rsidRPr="00234C50">
        <w:rPr>
          <w:sz w:val="18"/>
          <w:szCs w:val="18"/>
        </w:rPr>
        <w:t xml:space="preserve">Camille, Michael, </w:t>
      </w:r>
      <w:r w:rsidRPr="00234C50">
        <w:rPr>
          <w:i/>
          <w:iCs/>
          <w:sz w:val="18"/>
          <w:szCs w:val="18"/>
        </w:rPr>
        <w:t>The Gothic Idol</w:t>
      </w:r>
      <w:r w:rsidRPr="00234C50">
        <w:rPr>
          <w:sz w:val="18"/>
          <w:szCs w:val="18"/>
        </w:rPr>
        <w:t xml:space="preserve">, </w:t>
      </w:r>
      <w:r w:rsidRPr="00234C50">
        <w:rPr>
          <w:i/>
          <w:iCs/>
          <w:sz w:val="18"/>
          <w:szCs w:val="18"/>
        </w:rPr>
        <w:t>op. cit.</w:t>
      </w:r>
      <w:r w:rsidRPr="00234C50">
        <w:rPr>
          <w:sz w:val="18"/>
          <w:szCs w:val="18"/>
        </w:rPr>
        <w:t>, p. 210, n. 14.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F5FE23" w14:textId="7154B464" w:rsidR="00D0219E" w:rsidRDefault="00D0219E">
    <w:pPr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E948E4"/>
    <w:multiLevelType w:val="hybridMultilevel"/>
    <w:tmpl w:val="486811FA"/>
    <w:lvl w:ilvl="0" w:tplc="0DE21302">
      <w:start w:val="1"/>
      <w:numFmt w:val="bullet"/>
      <w:lvlText w:val="●"/>
      <w:lvlJc w:val="left"/>
      <w:pPr>
        <w:ind w:left="720" w:hanging="360"/>
      </w:pPr>
    </w:lvl>
    <w:lvl w:ilvl="1" w:tplc="BC1E3A0A">
      <w:start w:val="1"/>
      <w:numFmt w:val="bullet"/>
      <w:lvlText w:val="○"/>
      <w:lvlJc w:val="left"/>
      <w:pPr>
        <w:ind w:left="1440" w:hanging="360"/>
      </w:pPr>
    </w:lvl>
    <w:lvl w:ilvl="2" w:tplc="04CE9BE6">
      <w:start w:val="1"/>
      <w:numFmt w:val="bullet"/>
      <w:lvlText w:val="■"/>
      <w:lvlJc w:val="left"/>
      <w:pPr>
        <w:ind w:left="2160" w:hanging="360"/>
      </w:pPr>
    </w:lvl>
    <w:lvl w:ilvl="3" w:tplc="592A130E">
      <w:start w:val="1"/>
      <w:numFmt w:val="bullet"/>
      <w:lvlText w:val="●"/>
      <w:lvlJc w:val="left"/>
      <w:pPr>
        <w:ind w:left="2880" w:hanging="360"/>
      </w:pPr>
    </w:lvl>
    <w:lvl w:ilvl="4" w:tplc="6C069348">
      <w:start w:val="1"/>
      <w:numFmt w:val="bullet"/>
      <w:lvlText w:val="○"/>
      <w:lvlJc w:val="left"/>
      <w:pPr>
        <w:ind w:left="3600" w:hanging="360"/>
      </w:pPr>
    </w:lvl>
    <w:lvl w:ilvl="5" w:tplc="C374CB14">
      <w:start w:val="1"/>
      <w:numFmt w:val="bullet"/>
      <w:lvlText w:val="■"/>
      <w:lvlJc w:val="left"/>
      <w:pPr>
        <w:ind w:left="4320" w:hanging="360"/>
      </w:pPr>
    </w:lvl>
    <w:lvl w:ilvl="6" w:tplc="6D48E196">
      <w:start w:val="1"/>
      <w:numFmt w:val="bullet"/>
      <w:lvlText w:val="●"/>
      <w:lvlJc w:val="left"/>
      <w:pPr>
        <w:ind w:left="5040" w:hanging="360"/>
      </w:pPr>
    </w:lvl>
    <w:lvl w:ilvl="7" w:tplc="BAC832D2">
      <w:start w:val="1"/>
      <w:numFmt w:val="bullet"/>
      <w:lvlText w:val="●"/>
      <w:lvlJc w:val="left"/>
      <w:pPr>
        <w:ind w:left="5760" w:hanging="360"/>
      </w:pPr>
    </w:lvl>
    <w:lvl w:ilvl="8" w:tplc="E8C43A5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19E"/>
    <w:rsid w:val="00084EE0"/>
    <w:rsid w:val="001342F5"/>
    <w:rsid w:val="00234C50"/>
    <w:rsid w:val="00240D7D"/>
    <w:rsid w:val="004B5B51"/>
    <w:rsid w:val="005312C1"/>
    <w:rsid w:val="007F42B2"/>
    <w:rsid w:val="00891E03"/>
    <w:rsid w:val="009B73DC"/>
    <w:rsid w:val="009E5C9B"/>
    <w:rsid w:val="00C0219E"/>
    <w:rsid w:val="00C215E1"/>
    <w:rsid w:val="00CF5882"/>
    <w:rsid w:val="00D0219E"/>
    <w:rsid w:val="00D2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309D5"/>
  <w15:docId w15:val="{F93F3970-5C25-4140-8059-4ADC04796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18"/>
      <w:szCs w:val="18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AnastasisDOI">
    <w:name w:val="Anastasis DOI"/>
    <w:next w:val="AnastasisTitle"/>
    <w:qFormat/>
    <w:pPr>
      <w:spacing w:after="480"/>
      <w:jc w:val="right"/>
    </w:pPr>
    <w:rPr>
      <w:sz w:val="20"/>
      <w:szCs w:val="20"/>
    </w:rPr>
  </w:style>
  <w:style w:type="paragraph" w:customStyle="1" w:styleId="AnastasisTitle">
    <w:name w:val="Anastasis Title"/>
    <w:next w:val="AnastasisAuthor"/>
    <w:qFormat/>
    <w:pPr>
      <w:jc w:val="center"/>
    </w:pPr>
    <w:rPr>
      <w:b/>
      <w:bCs/>
      <w:sz w:val="28"/>
      <w:szCs w:val="28"/>
    </w:rPr>
  </w:style>
  <w:style w:type="paragraph" w:customStyle="1" w:styleId="AnastasisAuthor">
    <w:name w:val="Anastasis Author"/>
    <w:next w:val="AnastasisAbstract"/>
    <w:qFormat/>
    <w:pPr>
      <w:spacing w:before="240"/>
      <w:jc w:val="center"/>
    </w:pPr>
    <w:rPr>
      <w:b/>
      <w:bCs/>
      <w:sz w:val="24"/>
      <w:szCs w:val="24"/>
    </w:rPr>
  </w:style>
  <w:style w:type="paragraph" w:customStyle="1" w:styleId="AnastasisAbstract">
    <w:name w:val="Anastasis Abstract"/>
    <w:next w:val="AnastasisKeywords"/>
    <w:qFormat/>
    <w:pPr>
      <w:spacing w:before="360" w:after="120"/>
      <w:ind w:left="448"/>
    </w:pPr>
    <w:rPr>
      <w:sz w:val="20"/>
      <w:szCs w:val="20"/>
    </w:rPr>
  </w:style>
  <w:style w:type="paragraph" w:customStyle="1" w:styleId="AnastasisKeywords">
    <w:name w:val="Anastasis Keywords"/>
    <w:next w:val="AnastasisBody"/>
    <w:qFormat/>
    <w:pPr>
      <w:spacing w:after="240"/>
      <w:ind w:left="448"/>
    </w:pPr>
    <w:rPr>
      <w:sz w:val="20"/>
      <w:szCs w:val="20"/>
    </w:rPr>
  </w:style>
  <w:style w:type="paragraph" w:customStyle="1" w:styleId="AnastasisHeading">
    <w:name w:val="Anastasis Heading"/>
    <w:next w:val="AnastasisBody"/>
    <w:qFormat/>
    <w:pPr>
      <w:keepNext/>
      <w:spacing w:before="240" w:after="120"/>
      <w:ind w:firstLine="708"/>
      <w:outlineLvl w:val="0"/>
    </w:pPr>
    <w:rPr>
      <w:b/>
      <w:bCs/>
    </w:rPr>
  </w:style>
  <w:style w:type="paragraph" w:customStyle="1" w:styleId="AnastasisSubheading">
    <w:name w:val="Anastasis Subheading"/>
    <w:basedOn w:val="AnastasisHeading"/>
    <w:next w:val="AnastasisBody"/>
    <w:qFormat/>
    <w:pPr>
      <w:spacing w:before="180"/>
      <w:outlineLvl w:val="1"/>
    </w:pPr>
    <w:rPr>
      <w:i/>
      <w:iCs/>
    </w:rPr>
  </w:style>
  <w:style w:type="paragraph" w:customStyle="1" w:styleId="AnastasisBody">
    <w:name w:val="Anastasis Body"/>
    <w:qFormat/>
    <w:pPr>
      <w:ind w:firstLine="708"/>
    </w:pPr>
  </w:style>
  <w:style w:type="paragraph" w:customStyle="1" w:styleId="AnastasisBlockQuote">
    <w:name w:val="Anastasis Block Quote"/>
    <w:next w:val="AnastasisBody"/>
    <w:qFormat/>
    <w:pPr>
      <w:spacing w:before="120" w:after="120"/>
      <w:ind w:left="284" w:right="284"/>
    </w:pPr>
    <w:rPr>
      <w:sz w:val="20"/>
      <w:szCs w:val="20"/>
    </w:rPr>
  </w:style>
  <w:style w:type="paragraph" w:customStyle="1" w:styleId="AnastasisFigure">
    <w:name w:val="Anastasis Figure"/>
    <w:next w:val="AnastasisFigureCaption"/>
    <w:qFormat/>
    <w:pPr>
      <w:keepNext/>
      <w:spacing w:before="240" w:after="120"/>
      <w:jc w:val="center"/>
    </w:pPr>
    <w:rPr>
      <w:sz w:val="20"/>
      <w:szCs w:val="20"/>
    </w:rPr>
  </w:style>
  <w:style w:type="paragraph" w:customStyle="1" w:styleId="AnastasisFigureCaption">
    <w:name w:val="Anastasis Figure Caption"/>
    <w:next w:val="AnastasisBody"/>
    <w:qFormat/>
    <w:pPr>
      <w:spacing w:after="240"/>
      <w:jc w:val="center"/>
    </w:pPr>
    <w:rPr>
      <w:sz w:val="20"/>
      <w:szCs w:val="20"/>
    </w:rPr>
  </w:style>
  <w:style w:type="paragraph" w:customStyle="1" w:styleId="AnastasisListHeading">
    <w:name w:val="Anastasis List Heading"/>
    <w:next w:val="AnastasisListEntry"/>
    <w:qFormat/>
    <w:pPr>
      <w:keepNext/>
      <w:spacing w:before="240" w:after="120"/>
    </w:pPr>
    <w:rPr>
      <w:b/>
      <w:bCs/>
      <w:sz w:val="20"/>
      <w:szCs w:val="20"/>
    </w:rPr>
  </w:style>
  <w:style w:type="paragraph" w:customStyle="1" w:styleId="AnastasisListEntry">
    <w:name w:val="Anastasis List Entry"/>
    <w:qFormat/>
    <w:rPr>
      <w:sz w:val="20"/>
      <w:szCs w:val="20"/>
    </w:rPr>
  </w:style>
  <w:style w:type="paragraph" w:customStyle="1" w:styleId="AnastasisInstruction">
    <w:name w:val="Anastasis Instruction"/>
    <w:next w:val="AnastasisBody"/>
    <w:pPr>
      <w:spacing w:before="120" w:after="60"/>
      <w:jc w:val="left"/>
    </w:pPr>
    <w:rPr>
      <w:i/>
      <w:iCs/>
      <w:color w:val="7F7F7F"/>
      <w:sz w:val="18"/>
      <w:szCs w:val="18"/>
    </w:rPr>
  </w:style>
  <w:style w:type="paragraph" w:customStyle="1" w:styleId="AnastasisNoteHeading">
    <w:name w:val="Anastasis Note Heading"/>
    <w:next w:val="AnastasisInstruction"/>
    <w:pPr>
      <w:keepNext/>
      <w:spacing w:before="180" w:after="60"/>
      <w:jc w:val="left"/>
    </w:pPr>
    <w:rPr>
      <w:b/>
      <w:bCs/>
      <w:color w:val="7F7F7F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021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19E"/>
  </w:style>
  <w:style w:type="paragraph" w:styleId="Header">
    <w:name w:val="header"/>
    <w:basedOn w:val="Normal"/>
    <w:link w:val="HeaderChar"/>
    <w:uiPriority w:val="99"/>
    <w:unhideWhenUsed/>
    <w:rsid w:val="00C021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1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Anastasis — Article Template</vt:lpstr>
    </vt:vector>
  </TitlesOfParts>
  <Company/>
  <LinksUpToDate>false</LinksUpToDate>
  <CharactersWithSpaces>6138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Article Template</dc:title>
  <dc:creator>Madalina Elena MANDICI</dc:creator>
  <dc:description/>
  <cp:lastModifiedBy>D S</cp:lastModifiedBy>
  <cp:revision>10</cp:revision>
  <dcterms:created xsi:type="dcterms:W3CDTF">2026-08-27T10:06:00Z</dcterms:created>
  <dcterms:modified xsi:type="dcterms:W3CDTF">2026-09-09T14:40:00Z</dcterms:modified>
</cp:coreProperties>
</file>